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009" w14:textId="77777777" w:rsidR="00017D26" w:rsidRPr="00CA47EB" w:rsidRDefault="00017D26" w:rsidP="00017D26">
      <w:pPr>
        <w:keepNext/>
        <w:keepLines/>
        <w:spacing w:line="576" w:lineRule="auto"/>
        <w:jc w:val="center"/>
        <w:outlineLvl w:val="0"/>
        <w:rPr>
          <w:rFonts w:ascii="宋体" w:eastAsia="宋体" w:hAnsi="宋体" w:cs="宋体"/>
          <w:b/>
          <w:kern w:val="44"/>
          <w:sz w:val="44"/>
          <w:szCs w:val="24"/>
        </w:rPr>
      </w:pPr>
      <w:bookmarkStart w:id="0" w:name="_Toc842110022"/>
      <w:r w:rsidRPr="00CA47EB">
        <w:rPr>
          <w:rFonts w:ascii="宋体" w:eastAsia="宋体" w:hAnsi="宋体" w:cs="宋体" w:hint="eastAsia"/>
          <w:b/>
          <w:kern w:val="44"/>
          <w:sz w:val="44"/>
          <w:szCs w:val="24"/>
        </w:rPr>
        <w:t>债权申报及审查情况报告</w:t>
      </w:r>
      <w:bookmarkEnd w:id="0"/>
    </w:p>
    <w:p w14:paraId="02C9240C" w14:textId="6C3571B7" w:rsidR="00017D26" w:rsidRPr="00CA47EB" w:rsidRDefault="00017D26" w:rsidP="00506722">
      <w:pPr>
        <w:spacing w:line="52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杭州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市富阳区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人民法院</w:t>
      </w:r>
    </w:p>
    <w:p w14:paraId="79788DB0" w14:textId="77777777" w:rsidR="00017D26" w:rsidRPr="00CA47EB" w:rsidRDefault="00017D26" w:rsidP="00506722">
      <w:pPr>
        <w:spacing w:line="52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各位债权人及债权人代表：</w:t>
      </w:r>
    </w:p>
    <w:p w14:paraId="20E09506" w14:textId="5C2D600A" w:rsidR="00017D26" w:rsidRPr="00CA47EB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sz w:val="28"/>
          <w:szCs w:val="28"/>
        </w:rPr>
        <w:t>第一次债权人会议结束后，管理人继续接受债权补充申报，并依法进行审查。现</w:t>
      </w:r>
      <w:r>
        <w:rPr>
          <w:rFonts w:ascii="宋体" w:eastAsia="宋体" w:hAnsi="宋体" w:cs="宋体" w:hint="eastAsia"/>
          <w:sz w:val="28"/>
          <w:szCs w:val="28"/>
        </w:rPr>
        <w:t>向富阳区人民法院和各位债权人</w:t>
      </w:r>
      <w:r w:rsidRPr="00CA47EB">
        <w:rPr>
          <w:rFonts w:ascii="宋体" w:eastAsia="宋体" w:hAnsi="宋体" w:cs="宋体" w:hint="eastAsia"/>
          <w:sz w:val="28"/>
          <w:szCs w:val="28"/>
        </w:rPr>
        <w:t>通报债权</w:t>
      </w:r>
      <w:r w:rsidR="00552383">
        <w:rPr>
          <w:rFonts w:ascii="宋体" w:eastAsia="宋体" w:hAnsi="宋体" w:cs="宋体" w:hint="eastAsia"/>
          <w:sz w:val="28"/>
          <w:szCs w:val="28"/>
        </w:rPr>
        <w:t>补充</w:t>
      </w:r>
      <w:r w:rsidRPr="00CA47EB">
        <w:rPr>
          <w:rFonts w:ascii="宋体" w:eastAsia="宋体" w:hAnsi="宋体" w:cs="宋体" w:hint="eastAsia"/>
          <w:sz w:val="28"/>
          <w:szCs w:val="28"/>
        </w:rPr>
        <w:t>申报和债权审查情况。</w:t>
      </w:r>
    </w:p>
    <w:p w14:paraId="62C1C9F0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一、债权申报和审查情况</w:t>
      </w:r>
    </w:p>
    <w:p w14:paraId="3F6CF652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（一）债权申报情况</w:t>
      </w:r>
    </w:p>
    <w:p w14:paraId="52328479" w14:textId="6BA49103" w:rsidR="00017D26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sz w:val="28"/>
          <w:szCs w:val="28"/>
        </w:rPr>
        <w:t>在公告的债权申报期限结束后，管理人共接待</w:t>
      </w:r>
      <w:r w:rsidR="00090732">
        <w:rPr>
          <w:rFonts w:ascii="宋体" w:eastAsia="宋体" w:hAnsi="宋体" w:cs="宋体" w:hint="eastAsia"/>
          <w:sz w:val="28"/>
          <w:szCs w:val="28"/>
        </w:rPr>
        <w:t>2</w:t>
      </w:r>
      <w:r w:rsidRPr="00CA47EB">
        <w:rPr>
          <w:rFonts w:ascii="宋体" w:eastAsia="宋体" w:hAnsi="宋体" w:cs="宋体"/>
          <w:sz w:val="28"/>
          <w:szCs w:val="28"/>
        </w:rPr>
        <w:t>家债权人补充</w:t>
      </w:r>
      <w:r w:rsidRPr="00CA47EB">
        <w:rPr>
          <w:rFonts w:ascii="宋体" w:eastAsia="宋体" w:hAnsi="宋体" w:cs="宋体" w:hint="eastAsia"/>
          <w:sz w:val="28"/>
          <w:szCs w:val="28"/>
        </w:rPr>
        <w:t>申报债权，补充申报金额合计</w:t>
      </w:r>
      <w:r w:rsidR="00112F86" w:rsidRPr="00112F86">
        <w:rPr>
          <w:rFonts w:ascii="宋体" w:eastAsia="宋体" w:hAnsi="宋体" w:cs="宋体"/>
          <w:sz w:val="28"/>
          <w:szCs w:val="28"/>
        </w:rPr>
        <w:t>165,519.15</w:t>
      </w:r>
      <w:r w:rsidRPr="00CA47EB">
        <w:rPr>
          <w:rFonts w:ascii="宋体" w:eastAsia="宋体" w:hAnsi="宋体" w:cs="宋体"/>
          <w:sz w:val="28"/>
          <w:szCs w:val="28"/>
        </w:rPr>
        <w:t>元,</w:t>
      </w:r>
      <w:r w:rsidR="007360EB">
        <w:rPr>
          <w:rFonts w:ascii="宋体" w:eastAsia="宋体" w:hAnsi="宋体" w:cs="宋体" w:hint="eastAsia"/>
          <w:sz w:val="28"/>
          <w:szCs w:val="28"/>
        </w:rPr>
        <w:t>该笔债权为</w:t>
      </w:r>
      <w:r w:rsidRPr="00CA47EB">
        <w:rPr>
          <w:rFonts w:ascii="宋体" w:eastAsia="宋体" w:hAnsi="宋体" w:cs="宋体"/>
          <w:sz w:val="28"/>
          <w:szCs w:val="28"/>
        </w:rPr>
        <w:t>普通债权。</w:t>
      </w:r>
    </w:p>
    <w:p w14:paraId="77110A3E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（二）债权审查情况</w:t>
      </w:r>
    </w:p>
    <w:p w14:paraId="63C2E921" w14:textId="066A4A43" w:rsidR="00017D26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管理人现已对该</w:t>
      </w:r>
      <w:r w:rsidR="00E27626">
        <w:rPr>
          <w:rFonts w:ascii="宋体" w:eastAsia="宋体" w:hAnsi="宋体" w:cs="宋体" w:hint="eastAsia"/>
          <w:sz w:val="28"/>
          <w:szCs w:val="28"/>
        </w:rPr>
        <w:t>两</w:t>
      </w:r>
      <w:r w:rsidR="00093BFD">
        <w:rPr>
          <w:rFonts w:ascii="宋体" w:eastAsia="宋体" w:hAnsi="宋体" w:cs="宋体" w:hint="eastAsia"/>
          <w:sz w:val="28"/>
          <w:szCs w:val="28"/>
        </w:rPr>
        <w:t>家</w:t>
      </w:r>
      <w:r>
        <w:rPr>
          <w:rFonts w:ascii="宋体" w:eastAsia="宋体" w:hAnsi="宋体" w:cs="宋体" w:hint="eastAsia"/>
          <w:sz w:val="28"/>
          <w:szCs w:val="28"/>
        </w:rPr>
        <w:t>补充申报债权审查完毕，拟确认债权金额为</w:t>
      </w:r>
      <w:r w:rsidR="00112F86" w:rsidRPr="00112F86">
        <w:rPr>
          <w:rFonts w:ascii="宋体" w:eastAsia="宋体" w:hAnsi="宋体" w:cs="宋体"/>
          <w:sz w:val="28"/>
          <w:szCs w:val="28"/>
        </w:rPr>
        <w:t>165,519.15</w:t>
      </w:r>
      <w:r>
        <w:rPr>
          <w:rFonts w:ascii="宋体" w:eastAsia="宋体" w:hAnsi="宋体" w:cs="宋体" w:hint="eastAsia"/>
          <w:sz w:val="28"/>
          <w:szCs w:val="28"/>
        </w:rPr>
        <w:t>元</w:t>
      </w:r>
      <w:r w:rsidR="007360EB">
        <w:rPr>
          <w:rFonts w:ascii="宋体" w:eastAsia="宋体" w:hAnsi="宋体" w:cs="宋体" w:hint="eastAsia"/>
          <w:sz w:val="28"/>
          <w:szCs w:val="28"/>
        </w:rPr>
        <w:t>。</w:t>
      </w:r>
      <w:r w:rsidR="007360EB">
        <w:rPr>
          <w:rFonts w:ascii="宋体" w:eastAsia="宋体" w:hAnsi="宋体" w:cs="宋体"/>
          <w:sz w:val="28"/>
          <w:szCs w:val="28"/>
        </w:rPr>
        <w:t xml:space="preserve"> </w:t>
      </w:r>
    </w:p>
    <w:p w14:paraId="47767386" w14:textId="68CD1781" w:rsidR="00017D26" w:rsidRPr="003A7D1D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3A7D1D">
        <w:rPr>
          <w:rFonts w:ascii="宋体" w:eastAsia="宋体" w:hAnsi="宋体" w:cs="宋体" w:hint="eastAsia"/>
          <w:b/>
          <w:bCs/>
          <w:sz w:val="28"/>
          <w:szCs w:val="28"/>
        </w:rPr>
        <w:t>二、本次需要核查的债权</w:t>
      </w:r>
    </w:p>
    <w:p w14:paraId="263AC209" w14:textId="6BBAA297" w:rsidR="00017D26" w:rsidRPr="003A7D1D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A7D1D">
        <w:rPr>
          <w:rFonts w:ascii="宋体" w:eastAsia="宋体" w:hAnsi="宋体" w:cs="宋体" w:hint="eastAsia"/>
          <w:sz w:val="28"/>
          <w:szCs w:val="28"/>
        </w:rPr>
        <w:t>本次尚需核查的</w:t>
      </w:r>
      <w:r w:rsidR="00C16AC4">
        <w:rPr>
          <w:rFonts w:ascii="宋体" w:eastAsia="宋体" w:hAnsi="宋体" w:cs="宋体" w:hint="eastAsia"/>
          <w:sz w:val="28"/>
          <w:szCs w:val="28"/>
        </w:rPr>
        <w:t>是</w:t>
      </w:r>
      <w:r w:rsidR="00093BFD">
        <w:rPr>
          <w:rFonts w:ascii="宋体" w:eastAsia="宋体" w:hAnsi="宋体" w:cs="宋体" w:hint="eastAsia"/>
          <w:sz w:val="28"/>
          <w:szCs w:val="28"/>
        </w:rPr>
        <w:t>两</w:t>
      </w:r>
      <w:r w:rsidRPr="003A7D1D">
        <w:rPr>
          <w:rFonts w:ascii="宋体" w:eastAsia="宋体" w:hAnsi="宋体" w:cs="宋体" w:hint="eastAsia"/>
          <w:sz w:val="28"/>
          <w:szCs w:val="28"/>
        </w:rPr>
        <w:t>家债权人补充申报的债权，详细内容请参阅债权表。</w:t>
      </w:r>
    </w:p>
    <w:p w14:paraId="37328B64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、债权异议程序</w:t>
      </w:r>
    </w:p>
    <w:p w14:paraId="291A570B" w14:textId="52422402" w:rsidR="00017D26" w:rsidRPr="00CA47EB" w:rsidRDefault="001B1B73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1B1B73">
        <w:rPr>
          <w:rFonts w:ascii="宋体" w:eastAsia="宋体" w:hAnsi="宋体" w:cs="宋体" w:hint="eastAsia"/>
          <w:sz w:val="28"/>
          <w:szCs w:val="28"/>
        </w:rPr>
        <w:t>债权人或债务人对管理人审查结果有异议的，应自</w:t>
      </w:r>
      <w:r>
        <w:rPr>
          <w:rFonts w:ascii="宋体" w:eastAsia="宋体" w:hAnsi="宋体" w:cs="宋体" w:hint="eastAsia"/>
          <w:sz w:val="28"/>
          <w:szCs w:val="28"/>
        </w:rPr>
        <w:t>收到</w:t>
      </w:r>
      <w:r w:rsidRPr="001B1B73">
        <w:rPr>
          <w:rFonts w:ascii="宋体" w:eastAsia="宋体" w:hAnsi="宋体" w:cs="宋体" w:hint="eastAsia"/>
          <w:sz w:val="28"/>
          <w:szCs w:val="28"/>
        </w:rPr>
        <w:t>通知之日起</w:t>
      </w:r>
      <w:r w:rsidRPr="001B1B73">
        <w:rPr>
          <w:rFonts w:ascii="宋体" w:eastAsia="宋体" w:hAnsi="宋体" w:cs="宋体"/>
          <w:sz w:val="28"/>
          <w:szCs w:val="28"/>
        </w:rPr>
        <w:t>15日内书面向管理人提出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1B1B73">
        <w:rPr>
          <w:rFonts w:ascii="宋体" w:eastAsia="宋体" w:hAnsi="宋体" w:cs="宋体"/>
          <w:sz w:val="28"/>
          <w:szCs w:val="28"/>
        </w:rPr>
        <w:t>并说明</w:t>
      </w:r>
      <w:r w:rsidR="005220B4">
        <w:rPr>
          <w:rFonts w:ascii="宋体" w:eastAsia="宋体" w:hAnsi="宋体" w:cs="宋体" w:hint="eastAsia"/>
          <w:sz w:val="28"/>
          <w:szCs w:val="28"/>
        </w:rPr>
        <w:t>异议</w:t>
      </w:r>
      <w:r w:rsidRPr="001B1B73">
        <w:rPr>
          <w:rFonts w:ascii="宋体" w:eastAsia="宋体" w:hAnsi="宋体" w:cs="宋体"/>
          <w:sz w:val="28"/>
          <w:szCs w:val="28"/>
        </w:rPr>
        <w:t>理由和法律依据。</w:t>
      </w:r>
      <w:r w:rsidR="004170A2" w:rsidRPr="004170A2">
        <w:rPr>
          <w:rFonts w:ascii="宋体" w:eastAsia="宋体" w:hAnsi="宋体" w:cs="宋体" w:hint="eastAsia"/>
          <w:sz w:val="28"/>
          <w:szCs w:val="28"/>
        </w:rPr>
        <w:t>管理人</w:t>
      </w:r>
      <w:r w:rsidR="004170A2">
        <w:rPr>
          <w:rFonts w:ascii="宋体" w:eastAsia="宋体" w:hAnsi="宋体" w:cs="宋体" w:hint="eastAsia"/>
          <w:sz w:val="28"/>
          <w:szCs w:val="28"/>
        </w:rPr>
        <w:t>将</w:t>
      </w:r>
      <w:r w:rsidR="004170A2" w:rsidRPr="004170A2">
        <w:rPr>
          <w:rFonts w:ascii="宋体" w:eastAsia="宋体" w:hAnsi="宋体" w:cs="宋体" w:hint="eastAsia"/>
          <w:sz w:val="28"/>
          <w:szCs w:val="28"/>
        </w:rPr>
        <w:t>对有异议的债权进行复核，经复核仍有异议的，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应当在</w:t>
      </w:r>
      <w:r w:rsidR="004760D4">
        <w:rPr>
          <w:rFonts w:ascii="宋体" w:eastAsia="宋体" w:hAnsi="宋体" w:cs="宋体" w:hint="eastAsia"/>
          <w:sz w:val="28"/>
          <w:szCs w:val="28"/>
        </w:rPr>
        <w:t>收到管理人</w:t>
      </w:r>
      <w:r w:rsidR="004170A2">
        <w:rPr>
          <w:rFonts w:ascii="宋体" w:eastAsia="宋体" w:hAnsi="宋体" w:cs="宋体" w:hint="eastAsia"/>
          <w:sz w:val="28"/>
          <w:szCs w:val="28"/>
        </w:rPr>
        <w:t>复核</w:t>
      </w:r>
      <w:r w:rsidR="006D4598">
        <w:rPr>
          <w:rFonts w:ascii="宋体" w:eastAsia="宋体" w:hAnsi="宋体" w:cs="宋体" w:hint="eastAsia"/>
          <w:sz w:val="28"/>
          <w:szCs w:val="28"/>
        </w:rPr>
        <w:t>通知之日起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十五日内向</w:t>
      </w:r>
      <w:r w:rsidR="006D4598">
        <w:rPr>
          <w:rFonts w:ascii="宋体" w:eastAsia="宋体" w:hAnsi="宋体" w:cs="宋体" w:hint="eastAsia"/>
          <w:sz w:val="28"/>
          <w:szCs w:val="28"/>
        </w:rPr>
        <w:t>富阳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区人民法院提起债权确认的诉讼</w:t>
      </w:r>
      <w:r w:rsidR="0051217B">
        <w:rPr>
          <w:rFonts w:ascii="宋体" w:eastAsia="宋体" w:hAnsi="宋体" w:cs="宋体" w:hint="eastAsia"/>
          <w:sz w:val="28"/>
          <w:szCs w:val="28"/>
        </w:rPr>
        <w:t>，</w:t>
      </w:r>
      <w:r w:rsidR="006D4598" w:rsidRPr="006D4598">
        <w:rPr>
          <w:rFonts w:ascii="宋体" w:eastAsia="宋体" w:hAnsi="宋体" w:cs="宋体" w:hint="eastAsia"/>
          <w:sz w:val="28"/>
          <w:szCs w:val="28"/>
        </w:rPr>
        <w:t>并将案件受理情况反馈给管理人。逾期未提出异议的或异议人未按上述期限起诉的，视为无异议，管理人将申请人民法院裁定确认债权。</w:t>
      </w:r>
    </w:p>
    <w:p w14:paraId="2FB2EBC5" w14:textId="77777777" w:rsidR="00017D26" w:rsidRPr="00506722" w:rsidRDefault="00017D26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</w:pPr>
    </w:p>
    <w:p w14:paraId="7E0BBE41" w14:textId="7748D307" w:rsidR="00017D26" w:rsidRPr="00CA47EB" w:rsidRDefault="004170A2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杭州</w:t>
      </w:r>
      <w:r w:rsidR="001D7FFB">
        <w:rPr>
          <w:rFonts w:ascii="宋体" w:eastAsia="宋体" w:hAnsi="宋体" w:cs="宋体" w:hint="eastAsia"/>
          <w:b/>
          <w:bCs/>
          <w:sz w:val="28"/>
          <w:szCs w:val="28"/>
        </w:rPr>
        <w:t>望食文化创意</w:t>
      </w:r>
      <w:r w:rsidR="00017D26" w:rsidRPr="00CA47EB">
        <w:rPr>
          <w:rFonts w:ascii="宋体" w:eastAsia="宋体" w:hAnsi="宋体" w:cs="宋体" w:hint="eastAsia"/>
          <w:b/>
          <w:bCs/>
          <w:sz w:val="28"/>
          <w:szCs w:val="28"/>
        </w:rPr>
        <w:t>有限公司管理人</w:t>
      </w:r>
    </w:p>
    <w:p w14:paraId="193D886B" w14:textId="77777777" w:rsidR="00756759" w:rsidRDefault="00017D26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  <w:sectPr w:rsidR="007567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二〇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p w14:paraId="238EADB7" w14:textId="193B883B" w:rsidR="00017D26" w:rsidRPr="00756759" w:rsidRDefault="00756759" w:rsidP="001D7FFB">
      <w:pPr>
        <w:ind w:right="1124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756759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债权表</w:t>
      </w:r>
    </w:p>
    <w:p w14:paraId="1BE605A5" w14:textId="06443B3B" w:rsidR="00756759" w:rsidRDefault="00756759" w:rsidP="00756759">
      <w:pPr>
        <w:ind w:right="164"/>
        <w:jc w:val="right"/>
        <w:rPr>
          <w:rFonts w:ascii="宋体" w:eastAsia="宋体" w:hAnsi="宋体" w:cs="宋体"/>
          <w:sz w:val="24"/>
          <w:szCs w:val="24"/>
        </w:rPr>
      </w:pPr>
      <w:r w:rsidRPr="00756759">
        <w:rPr>
          <w:rFonts w:ascii="宋体" w:eastAsia="宋体" w:hAnsi="宋体" w:cs="宋体" w:hint="eastAsia"/>
          <w:sz w:val="24"/>
          <w:szCs w:val="24"/>
        </w:rPr>
        <w:t>单位：元</w:t>
      </w:r>
    </w:p>
    <w:p w14:paraId="02A0F63E" w14:textId="77777777" w:rsidR="00756759" w:rsidRPr="00756759" w:rsidRDefault="00756759" w:rsidP="00756759">
      <w:pPr>
        <w:ind w:right="1124"/>
        <w:rPr>
          <w:rFonts w:ascii="宋体" w:eastAsia="宋体" w:hAnsi="宋体" w:cs="宋体"/>
          <w:sz w:val="24"/>
          <w:szCs w:val="24"/>
        </w:rPr>
      </w:pPr>
    </w:p>
    <w:tbl>
      <w:tblPr>
        <w:tblStyle w:val="121"/>
        <w:tblW w:w="5000" w:type="pct"/>
        <w:jc w:val="center"/>
        <w:tblLook w:val="04A0" w:firstRow="1" w:lastRow="0" w:firstColumn="1" w:lastColumn="0" w:noHBand="0" w:noVBand="1"/>
      </w:tblPr>
      <w:tblGrid>
        <w:gridCol w:w="482"/>
        <w:gridCol w:w="795"/>
        <w:gridCol w:w="2225"/>
        <w:gridCol w:w="1910"/>
        <w:gridCol w:w="1910"/>
        <w:gridCol w:w="974"/>
      </w:tblGrid>
      <w:tr w:rsidR="00FF5298" w:rsidRPr="00DE34D4" w14:paraId="483C612D" w14:textId="77777777" w:rsidTr="00360888">
        <w:trPr>
          <w:jc w:val="center"/>
        </w:trPr>
        <w:tc>
          <w:tcPr>
            <w:tcW w:w="291" w:type="pct"/>
          </w:tcPr>
          <w:p w14:paraId="7CDA3458" w14:textId="77777777" w:rsidR="00FF5298" w:rsidRPr="00DE34D4" w:rsidRDefault="00FF5298" w:rsidP="00360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9" w:type="pct"/>
          </w:tcPr>
          <w:p w14:paraId="5A16FDB1" w14:textId="77777777" w:rsidR="00FF5298" w:rsidRPr="00DE34D4" w:rsidRDefault="00FF5298" w:rsidP="00360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债权编号</w:t>
            </w:r>
          </w:p>
        </w:tc>
        <w:tc>
          <w:tcPr>
            <w:tcW w:w="1341" w:type="pct"/>
          </w:tcPr>
          <w:p w14:paraId="3F0F5487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债权人</w:t>
            </w:r>
          </w:p>
        </w:tc>
        <w:tc>
          <w:tcPr>
            <w:tcW w:w="1151" w:type="pct"/>
          </w:tcPr>
          <w:p w14:paraId="4A2AA818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151" w:type="pct"/>
          </w:tcPr>
          <w:p w14:paraId="617F6D85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拟确认金额</w:t>
            </w:r>
          </w:p>
        </w:tc>
        <w:tc>
          <w:tcPr>
            <w:tcW w:w="587" w:type="pct"/>
          </w:tcPr>
          <w:p w14:paraId="7099681F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93BFD" w:rsidRPr="00DE34D4" w14:paraId="1FDCA1C4" w14:textId="77777777" w:rsidTr="00360888">
        <w:trPr>
          <w:jc w:val="center"/>
        </w:trPr>
        <w:tc>
          <w:tcPr>
            <w:tcW w:w="291" w:type="pct"/>
          </w:tcPr>
          <w:p w14:paraId="2020F80E" w14:textId="0063BCDF" w:rsidR="00093BFD" w:rsidRPr="00093BFD" w:rsidRDefault="00093BFD" w:rsidP="00093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93BF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2BD902C2" w14:textId="0DF32C53" w:rsidR="00093BFD" w:rsidRPr="00093BFD" w:rsidRDefault="00093BFD" w:rsidP="00093BF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93BFD">
              <w:rPr>
                <w:rFonts w:ascii="宋体" w:hAnsi="宋体"/>
                <w:sz w:val="24"/>
                <w:szCs w:val="24"/>
              </w:rPr>
              <w:t>WS08</w:t>
            </w:r>
          </w:p>
        </w:tc>
        <w:tc>
          <w:tcPr>
            <w:tcW w:w="1341" w:type="pct"/>
          </w:tcPr>
          <w:p w14:paraId="3F4BA5DE" w14:textId="44F818E2" w:rsidR="00093BFD" w:rsidRPr="00093BFD" w:rsidRDefault="00093BFD" w:rsidP="00093BF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93BFD">
              <w:rPr>
                <w:rFonts w:ascii="宋体" w:hAnsi="宋体"/>
                <w:sz w:val="24"/>
                <w:szCs w:val="24"/>
              </w:rPr>
              <w:t>王柳英</w:t>
            </w:r>
          </w:p>
        </w:tc>
        <w:tc>
          <w:tcPr>
            <w:tcW w:w="1151" w:type="pct"/>
          </w:tcPr>
          <w:p w14:paraId="542703DF" w14:textId="7CDF80CC" w:rsidR="00093BFD" w:rsidRPr="00093BFD" w:rsidRDefault="00093BFD" w:rsidP="00093BF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93BFD">
              <w:rPr>
                <w:rFonts w:ascii="宋体" w:hAnsi="宋体"/>
                <w:sz w:val="24"/>
                <w:szCs w:val="24"/>
              </w:rPr>
              <w:t>40,000</w:t>
            </w:r>
          </w:p>
        </w:tc>
        <w:tc>
          <w:tcPr>
            <w:tcW w:w="1151" w:type="pct"/>
          </w:tcPr>
          <w:p w14:paraId="77CC7420" w14:textId="255D0520" w:rsidR="00093BFD" w:rsidRPr="00093BFD" w:rsidRDefault="00093BFD" w:rsidP="00093BF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93BFD">
              <w:rPr>
                <w:rFonts w:ascii="宋体" w:hAnsi="宋体"/>
                <w:sz w:val="24"/>
                <w:szCs w:val="24"/>
              </w:rPr>
              <w:t>40,000</w:t>
            </w:r>
          </w:p>
        </w:tc>
        <w:tc>
          <w:tcPr>
            <w:tcW w:w="587" w:type="pct"/>
          </w:tcPr>
          <w:p w14:paraId="798FE1F6" w14:textId="08950DEB" w:rsidR="00093BFD" w:rsidRPr="00093BFD" w:rsidRDefault="00093BFD" w:rsidP="00093BF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3BFD">
              <w:rPr>
                <w:rFonts w:ascii="宋体" w:hAnsi="宋体" w:hint="eastAsia"/>
                <w:sz w:val="24"/>
                <w:szCs w:val="24"/>
              </w:rPr>
              <w:t>股权转让款</w:t>
            </w:r>
          </w:p>
        </w:tc>
      </w:tr>
      <w:tr w:rsidR="00142641" w:rsidRPr="00DE34D4" w14:paraId="1C36D9F0" w14:textId="77777777" w:rsidTr="00360888">
        <w:trPr>
          <w:jc w:val="center"/>
        </w:trPr>
        <w:tc>
          <w:tcPr>
            <w:tcW w:w="291" w:type="pct"/>
          </w:tcPr>
          <w:p w14:paraId="4F68D530" w14:textId="30821143" w:rsidR="00142641" w:rsidRPr="00DE34D4" w:rsidRDefault="00093BFD" w:rsidP="0014264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14:paraId="03C7641D" w14:textId="636F2739" w:rsidR="00142641" w:rsidRPr="00142641" w:rsidRDefault="00142641" w:rsidP="0014264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2641">
              <w:rPr>
                <w:rFonts w:ascii="宋体" w:hAnsi="宋体"/>
                <w:sz w:val="24"/>
                <w:szCs w:val="24"/>
              </w:rPr>
              <w:t>WS09</w:t>
            </w:r>
          </w:p>
        </w:tc>
        <w:tc>
          <w:tcPr>
            <w:tcW w:w="1341" w:type="pct"/>
          </w:tcPr>
          <w:p w14:paraId="13585F90" w14:textId="5D4517B3" w:rsidR="00142641" w:rsidRPr="00142641" w:rsidRDefault="00142641" w:rsidP="00142641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2641">
              <w:rPr>
                <w:rFonts w:ascii="宋体" w:hAnsi="宋体"/>
                <w:sz w:val="24"/>
                <w:szCs w:val="24"/>
              </w:rPr>
              <w:t>杭州富阳陈杰副食品店</w:t>
            </w:r>
          </w:p>
        </w:tc>
        <w:tc>
          <w:tcPr>
            <w:tcW w:w="1151" w:type="pct"/>
          </w:tcPr>
          <w:p w14:paraId="4056E58A" w14:textId="41C9E7C9" w:rsidR="00142641" w:rsidRPr="00142641" w:rsidRDefault="00142641" w:rsidP="0014264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2641">
              <w:rPr>
                <w:rFonts w:ascii="宋体" w:hAnsi="宋体"/>
                <w:sz w:val="24"/>
                <w:szCs w:val="24"/>
              </w:rPr>
              <w:t>125,519.15</w:t>
            </w:r>
          </w:p>
        </w:tc>
        <w:tc>
          <w:tcPr>
            <w:tcW w:w="1151" w:type="pct"/>
          </w:tcPr>
          <w:p w14:paraId="60B0AAE2" w14:textId="6CBC28CC" w:rsidR="00142641" w:rsidRPr="00142641" w:rsidRDefault="00142641" w:rsidP="0014264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42641">
              <w:rPr>
                <w:rFonts w:ascii="宋体" w:hAnsi="宋体"/>
                <w:sz w:val="24"/>
                <w:szCs w:val="24"/>
              </w:rPr>
              <w:t>125,519.15</w:t>
            </w:r>
          </w:p>
        </w:tc>
        <w:tc>
          <w:tcPr>
            <w:tcW w:w="587" w:type="pct"/>
          </w:tcPr>
          <w:p w14:paraId="74989270" w14:textId="6FA9BF47" w:rsidR="00142641" w:rsidRPr="00142641" w:rsidRDefault="00142641" w:rsidP="00142641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2641">
              <w:rPr>
                <w:rFonts w:hint="eastAsia"/>
                <w:sz w:val="24"/>
                <w:szCs w:val="24"/>
              </w:rPr>
              <w:t>货款</w:t>
            </w:r>
          </w:p>
        </w:tc>
      </w:tr>
      <w:tr w:rsidR="00C63633" w:rsidRPr="00DE34D4" w14:paraId="652F1400" w14:textId="77777777" w:rsidTr="00FF5298">
        <w:trPr>
          <w:jc w:val="center"/>
        </w:trPr>
        <w:tc>
          <w:tcPr>
            <w:tcW w:w="2111" w:type="pct"/>
            <w:gridSpan w:val="3"/>
          </w:tcPr>
          <w:p w14:paraId="63E38239" w14:textId="19CEB471" w:rsidR="00C63633" w:rsidRPr="00FF5298" w:rsidRDefault="00C63633" w:rsidP="00C6363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51" w:type="pct"/>
          </w:tcPr>
          <w:p w14:paraId="2A07B613" w14:textId="03D8D91A" w:rsidR="00C63633" w:rsidRPr="00C63633" w:rsidRDefault="00C63633" w:rsidP="00C6363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3633"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  <w:r w:rsidR="00112F86"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  <w:r w:rsidRPr="00C63633">
              <w:rPr>
                <w:rFonts w:ascii="宋体" w:hAnsi="宋体"/>
                <w:b/>
                <w:bCs/>
                <w:sz w:val="24"/>
                <w:szCs w:val="24"/>
              </w:rPr>
              <w:t>5,519.15</w:t>
            </w:r>
          </w:p>
        </w:tc>
        <w:tc>
          <w:tcPr>
            <w:tcW w:w="1151" w:type="pct"/>
          </w:tcPr>
          <w:p w14:paraId="04E0C9ED" w14:textId="334052A8" w:rsidR="00C63633" w:rsidRPr="00C63633" w:rsidRDefault="00C63633" w:rsidP="00C63633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3633"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  <w:r w:rsidR="00112F86"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  <w:r w:rsidRPr="00C63633">
              <w:rPr>
                <w:rFonts w:ascii="宋体" w:hAnsi="宋体"/>
                <w:b/>
                <w:bCs/>
                <w:sz w:val="24"/>
                <w:szCs w:val="24"/>
              </w:rPr>
              <w:t>5,519.15</w:t>
            </w:r>
          </w:p>
        </w:tc>
        <w:tc>
          <w:tcPr>
            <w:tcW w:w="587" w:type="pct"/>
          </w:tcPr>
          <w:p w14:paraId="3EAF4677" w14:textId="77777777" w:rsidR="00C63633" w:rsidRPr="00DE34D4" w:rsidRDefault="00C63633" w:rsidP="00C6363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7B9FD88" w14:textId="77777777" w:rsidR="003F596C" w:rsidRPr="00017D26" w:rsidRDefault="003F596C"/>
    <w:sectPr w:rsidR="003F596C" w:rsidRPr="0001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6C"/>
    <w:rsid w:val="00017D26"/>
    <w:rsid w:val="00036D5A"/>
    <w:rsid w:val="00090732"/>
    <w:rsid w:val="00093BFD"/>
    <w:rsid w:val="000D1C89"/>
    <w:rsid w:val="00112F86"/>
    <w:rsid w:val="00142641"/>
    <w:rsid w:val="001B1B73"/>
    <w:rsid w:val="001D7FFB"/>
    <w:rsid w:val="003F596C"/>
    <w:rsid w:val="004170A2"/>
    <w:rsid w:val="004760D4"/>
    <w:rsid w:val="00506722"/>
    <w:rsid w:val="0051217B"/>
    <w:rsid w:val="005220B4"/>
    <w:rsid w:val="00552383"/>
    <w:rsid w:val="005E5577"/>
    <w:rsid w:val="006D4598"/>
    <w:rsid w:val="00735B80"/>
    <w:rsid w:val="007360EB"/>
    <w:rsid w:val="00756759"/>
    <w:rsid w:val="007B53CC"/>
    <w:rsid w:val="00845C92"/>
    <w:rsid w:val="00C16AC4"/>
    <w:rsid w:val="00C63633"/>
    <w:rsid w:val="00E27626"/>
    <w:rsid w:val="00FC2C63"/>
    <w:rsid w:val="00FD5EF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CF8C"/>
  <w15:chartTrackingRefBased/>
  <w15:docId w15:val="{28A997FC-8906-4A17-9FAB-64F97C0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1">
    <w:name w:val="网格型121"/>
    <w:basedOn w:val="a1"/>
    <w:uiPriority w:val="39"/>
    <w:qFormat/>
    <w:rsid w:val="00FF52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8</cp:revision>
  <dcterms:created xsi:type="dcterms:W3CDTF">2022-01-04T05:50:00Z</dcterms:created>
  <dcterms:modified xsi:type="dcterms:W3CDTF">2022-01-04T06:58:00Z</dcterms:modified>
</cp:coreProperties>
</file>