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关于浙江中铁房地产集团有限公司职工债权情况的二次公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浙江中铁房地产集团有限公司职工债权情况的二次公示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3175" b="8890"/>
            <wp:docPr id="2" name="图片 2" descr="关于浙江中铁房地产集团有限公司职工债权情况的二次公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浙江中铁房地产集团有限公司职工债权情况的二次公示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3175" b="8890"/>
            <wp:docPr id="3" name="图片 3" descr="关于浙江中铁房地产集团有限公司职工债权情况的二次公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浙江中铁房地产集团有限公司职工债权情况的二次公示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3175" b="8890"/>
            <wp:docPr id="4" name="图片 4" descr="关于浙江中铁房地产集团有限公司职工债权情况的二次公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浙江中铁房地产集团有限公司职工债权情况的二次公示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DC50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2017-12-26T11:41:43Z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